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C698F" w:rsidRPr="000C698F" w:rsidTr="000C698F">
        <w:tc>
          <w:tcPr>
            <w:tcW w:w="2943" w:type="dxa"/>
          </w:tcPr>
          <w:p w:rsidR="000C698F" w:rsidRPr="000C698F" w:rsidRDefault="000C698F" w:rsidP="000C698F">
            <w:pPr>
              <w:rPr>
                <w:b/>
              </w:rPr>
            </w:pPr>
            <w:r w:rsidRPr="000C698F">
              <w:rPr>
                <w:b/>
              </w:rPr>
              <w:t>ỦY BAN NHÂN DÂN</w:t>
            </w:r>
          </w:p>
          <w:p w:rsidR="000C698F" w:rsidRPr="000C698F" w:rsidRDefault="000C698F" w:rsidP="000C698F">
            <w:r w:rsidRPr="000C698F">
              <w:rPr>
                <w:b/>
              </w:rPr>
              <w:t>TỈNH NINH THUẬN</w:t>
            </w:r>
          </w:p>
        </w:tc>
      </w:tr>
    </w:tbl>
    <w:p w:rsidR="000C698F" w:rsidRDefault="000C698F" w:rsidP="000C698F">
      <w:pPr>
        <w:spacing w:before="120" w:after="120" w:line="276" w:lineRule="auto"/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4F48" wp14:editId="203C81A2">
                <wp:simplePos x="0" y="0"/>
                <wp:positionH relativeFrom="column">
                  <wp:posOffset>279400</wp:posOffset>
                </wp:positionH>
                <wp:positionV relativeFrom="paragraph">
                  <wp:posOffset>27305</wp:posOffset>
                </wp:positionV>
                <wp:extent cx="9652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.15pt" to="98pt,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CACztAEAALYDAAAOAAAAZHJzL2Uyb0RvYy54bWysU8GOEzEMvSPxD1HudKaVWMGo0z10BRcE FQsfkM04nYgkjpzQaf8eJ21n0YIQWu3FEyfv2X62Z3179E4cgJLF0MvlopUCgsbBhn0vv3/78Oad FCmrMCiHAXp5giRvN69frafYwQpHdAOQ4CAhdVPs5Zhz7Jom6RG8SguMEPjRIHmV2aV9M5CaOLp3 zaptb5oJaYiEGlLi27vzo9zU+MaAzl+MSZCF6yXXlqulah+KbTZr1e1JxdHqSxnqGVV4ZQMnnUPd qazET7J/hPJWEyY0eaHRN2iM1VA1sJpl+0TN/agiVC3cnBTnNqWXC6s/H3Yk7NDLlRRBeR7RfSZl 92MWWwyBG4gkVqVPU0wdw7dhRxcvxR0V0UdDvnxZjjjW3p7m3sIxC82X72/e8ryk0Nen5pEXKeWP gF6UQy+dDUW16tThU8qci6FXCDuljnPmesonBwXswlcwrIRzLSu77hBsHYmD4ukPP5ZFBceqyEIx 1rmZ1P6bdMEWGtS9+l/ijK4ZMeSZ6G1A+lvWfLyWas74q+qz1iL7AYdTnUNtBy9HVXZZ5LJ9v/uV /vi7bX4BAAD//wMAUEsDBBQABgAIAAAAIQCzn19u2gAAAAYBAAAPAAAAZHJzL2Rvd25yZXYueG1s TI89T8NADIZ3JP7DyUhs9AJUbQm5VIiPCYYQGBjdnEmi5nxR7poEfj0uC0zWo9d6/Tjbzq5TIw2h 9WzgcpGAIq68bbk28P72dLEBFSKyxc4zGfiiANv89CTD1PqJX2ksY62khEOKBpoY+1TrUDXkMCx8 TyzZpx8cRsGh1nbAScpdp6+SZKUdtiwXGuzpvqFqXx6cgfXjc1n008PLd6HXuihGHzf7D2POz+a7 W1CR5vi3DEd9UYdcnHb+wDaozsByKa9EmdegjvHNSnj3yzrP9H/9/AcAAP//AwBQSwECLQAUAAYA CAAAACEAtoM4kv4AAADhAQAAEwAAAAAAAAAAAAAAAAAAAAAAW0NvbnRlbnRfVHlwZXNdLnhtbFBL AQItABQABgAIAAAAIQA4/SH/1gAAAJQBAAALAAAAAAAAAAAAAAAAAC8BAABfcmVscy8ucmVsc1BL AQItABQABgAIAAAAIQA1CACztAEAALYDAAAOAAAAAAAAAAAAAAAAAC4CAABkcnMvZTJvRG9jLnht bFBLAQItABQABgAIAAAAIQCzn19u2gAAAAYBAAAPAAAAAAAAAAAAAAAAAA4EAABkcnMvZG93bnJl di54bWxQSwUGAAAAAAQABADzAAAAFQUAAAAA " strokecolor="black [3040]"/>
            </w:pict>
          </mc:Fallback>
        </mc:AlternateContent>
      </w:r>
    </w:p>
    <w:p w:rsidR="00E7325E" w:rsidRPr="00E7325E" w:rsidRDefault="00E7325E" w:rsidP="000C698F">
      <w:pPr>
        <w:spacing w:before="120" w:after="120" w:line="276" w:lineRule="auto"/>
        <w:jc w:val="center"/>
        <w:rPr>
          <w:b/>
          <w:lang w:val="nl-NL"/>
        </w:rPr>
      </w:pPr>
      <w:r w:rsidRPr="00E7325E">
        <w:rPr>
          <w:b/>
          <w:lang w:val="nl-NL"/>
        </w:rPr>
        <w:t>BIỂU THUYẾT MINH</w:t>
      </w:r>
    </w:p>
    <w:p w:rsidR="00E7325E" w:rsidRPr="00E7325E" w:rsidRDefault="00E7325E" w:rsidP="000C698F">
      <w:pPr>
        <w:jc w:val="center"/>
        <w:rPr>
          <w:b/>
          <w:lang w:val="nl-NL"/>
        </w:rPr>
      </w:pPr>
      <w:r w:rsidRPr="00E7325E">
        <w:rPr>
          <w:b/>
          <w:lang w:val="nl-NL"/>
        </w:rPr>
        <w:t>DỰ TOÁN THU, CHI NSNN NĂM 202</w:t>
      </w:r>
      <w:r w:rsidR="00A54F86">
        <w:rPr>
          <w:b/>
          <w:lang w:val="nl-NL"/>
        </w:rPr>
        <w:t xml:space="preserve">3 </w:t>
      </w:r>
      <w:r w:rsidRPr="00E7325E">
        <w:rPr>
          <w:b/>
          <w:lang w:val="nl-NL"/>
        </w:rPr>
        <w:t>TỈNH NINH THUẬN</w:t>
      </w:r>
    </w:p>
    <w:p w:rsidR="000C698F" w:rsidRDefault="000C698F" w:rsidP="000C698F">
      <w:pPr>
        <w:ind w:firstLine="709"/>
        <w:jc w:val="center"/>
        <w:rPr>
          <w:i/>
          <w:lang w:val="nl-NL"/>
        </w:rPr>
      </w:pPr>
      <w:r w:rsidRPr="000C698F">
        <w:rPr>
          <w:i/>
          <w:lang w:val="nl-NL"/>
        </w:rPr>
        <w:t>(Kèm theo Tờ trình số     /TTr-UBND ngày     tháng 11 năm 2022</w:t>
      </w:r>
    </w:p>
    <w:p w:rsidR="00E7325E" w:rsidRDefault="000C698F" w:rsidP="000C698F">
      <w:pPr>
        <w:ind w:firstLine="709"/>
        <w:jc w:val="center"/>
        <w:rPr>
          <w:i/>
          <w:lang w:val="nl-NL"/>
        </w:rPr>
      </w:pPr>
      <w:r w:rsidRPr="000C698F">
        <w:rPr>
          <w:i/>
          <w:lang w:val="nl-NL"/>
        </w:rPr>
        <w:t>của Ủy ban nhân dân tỉnh)</w:t>
      </w:r>
    </w:p>
    <w:p w:rsidR="000C698F" w:rsidRPr="000C698F" w:rsidRDefault="000C698F" w:rsidP="000C698F">
      <w:pPr>
        <w:ind w:firstLine="709"/>
        <w:jc w:val="center"/>
        <w:rPr>
          <w:i/>
          <w:lang w:val="nl-NL"/>
        </w:rPr>
      </w:pPr>
    </w:p>
    <w:p w:rsidR="00E90898" w:rsidRDefault="004049CE" w:rsidP="00E90898">
      <w:pPr>
        <w:spacing w:before="120" w:after="120" w:line="276" w:lineRule="auto"/>
        <w:ind w:firstLine="709"/>
        <w:jc w:val="both"/>
        <w:rPr>
          <w:lang w:val="nl-NL"/>
        </w:rPr>
      </w:pPr>
      <w:r w:rsidRPr="00E7325E">
        <w:rPr>
          <w:b/>
          <w:lang w:val="nl-NL"/>
        </w:rPr>
        <w:t xml:space="preserve">1. </w:t>
      </w:r>
      <w:r w:rsidRPr="00546224">
        <w:rPr>
          <w:lang w:val="nl-NL"/>
        </w:rPr>
        <w:t xml:space="preserve">Thu ngân sách nhà nước </w:t>
      </w:r>
      <w:r>
        <w:rPr>
          <w:lang w:val="nl-NL"/>
        </w:rPr>
        <w:t>năm 202</w:t>
      </w:r>
      <w:r w:rsidR="00A54F86">
        <w:rPr>
          <w:lang w:val="nl-NL"/>
        </w:rPr>
        <w:t>3</w:t>
      </w:r>
      <w:r>
        <w:rPr>
          <w:lang w:val="nl-NL"/>
        </w:rPr>
        <w:t xml:space="preserve"> </w:t>
      </w:r>
      <w:r w:rsidRPr="00546224">
        <w:rPr>
          <w:lang w:val="nl-NL"/>
        </w:rPr>
        <w:t>trên địa bàn</w:t>
      </w:r>
      <w:r>
        <w:rPr>
          <w:lang w:val="nl-NL"/>
        </w:rPr>
        <w:t>, UBND tỉnh trình HĐND tỉnh là 3.</w:t>
      </w:r>
      <w:r w:rsidR="00B03D0B">
        <w:rPr>
          <w:lang w:val="nl-NL"/>
        </w:rPr>
        <w:t>658</w:t>
      </w:r>
      <w:r>
        <w:rPr>
          <w:lang w:val="nl-NL"/>
        </w:rPr>
        <w:t>.000 triệu</w:t>
      </w:r>
      <w:r w:rsidRPr="00546224">
        <w:rPr>
          <w:lang w:val="nl-NL"/>
        </w:rPr>
        <w:t xml:space="preserve"> đồng</w:t>
      </w:r>
      <w:r>
        <w:rPr>
          <w:lang w:val="nl-NL"/>
        </w:rPr>
        <w:t>, tăng 503.000 triệu đồng</w:t>
      </w:r>
      <w:r w:rsidR="00E90898">
        <w:rPr>
          <w:lang w:val="nl-NL"/>
        </w:rPr>
        <w:t xml:space="preserve"> </w:t>
      </w:r>
      <w:r>
        <w:rPr>
          <w:lang w:val="nl-NL"/>
        </w:rPr>
        <w:t>so với dự toán năm 202</w:t>
      </w:r>
      <w:r w:rsidR="00B03D0B">
        <w:rPr>
          <w:lang w:val="nl-NL"/>
        </w:rPr>
        <w:t>3</w:t>
      </w:r>
      <w:r>
        <w:rPr>
          <w:lang w:val="nl-NL"/>
        </w:rPr>
        <w:t xml:space="preserve"> Chính phủ dự kiế</w:t>
      </w:r>
      <w:r w:rsidR="00B03D0B">
        <w:rPr>
          <w:lang w:val="nl-NL"/>
        </w:rPr>
        <w:t>n giao 3.393.5</w:t>
      </w:r>
      <w:r>
        <w:rPr>
          <w:lang w:val="nl-NL"/>
        </w:rPr>
        <w:t>00 triệu đồng</w:t>
      </w:r>
      <w:r w:rsidRPr="00546224">
        <w:rPr>
          <w:lang w:val="nl-NL"/>
        </w:rPr>
        <w:t>;</w:t>
      </w:r>
      <w:r w:rsidRPr="00DD277C">
        <w:rPr>
          <w:lang w:val="nl-NL"/>
        </w:rPr>
        <w:t xml:space="preserve"> </w:t>
      </w:r>
      <w:r w:rsidR="00E90898">
        <w:rPr>
          <w:lang w:val="nl-NL"/>
        </w:rPr>
        <w:t>cụ thể:</w:t>
      </w:r>
    </w:p>
    <w:p w:rsidR="00E90898" w:rsidRPr="000C698F" w:rsidRDefault="000C698F" w:rsidP="00E90898">
      <w:pPr>
        <w:spacing w:before="120" w:after="120" w:line="276" w:lineRule="auto"/>
        <w:ind w:firstLine="709"/>
        <w:jc w:val="right"/>
        <w:rPr>
          <w:i/>
          <w:lang w:val="nl-NL"/>
        </w:rPr>
      </w:pPr>
      <w:r>
        <w:rPr>
          <w:i/>
          <w:lang w:val="nl-NL"/>
        </w:rPr>
        <w:t>Đơn vị tính</w:t>
      </w:r>
      <w:r w:rsidR="00E90898" w:rsidRPr="000C698F">
        <w:rPr>
          <w:i/>
          <w:lang w:val="nl-NL"/>
        </w:rPr>
        <w:t>: triệu đồng</w:t>
      </w: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300"/>
        <w:gridCol w:w="1300"/>
        <w:gridCol w:w="1300"/>
        <w:gridCol w:w="1097"/>
        <w:gridCol w:w="1099"/>
        <w:gridCol w:w="1097"/>
        <w:gridCol w:w="1171"/>
      </w:tblGrid>
      <w:tr w:rsidR="0052423C" w:rsidRPr="0052423C" w:rsidTr="00E7325E">
        <w:tc>
          <w:tcPr>
            <w:tcW w:w="567" w:type="dxa"/>
            <w:vMerge w:val="restart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Nội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300" w:type="dxa"/>
            <w:vMerge w:val="restart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Dự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toán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202</w:t>
            </w:r>
            <w:r w:rsidR="00B03D0B" w:rsidRPr="000C698F">
              <w:rPr>
                <w:b/>
                <w:sz w:val="26"/>
                <w:szCs w:val="26"/>
              </w:rPr>
              <w:t>2</w:t>
            </w:r>
            <w:r w:rsidRPr="000C698F">
              <w:rPr>
                <w:b/>
                <w:sz w:val="26"/>
                <w:szCs w:val="26"/>
              </w:rPr>
              <w:t xml:space="preserve"> HĐND </w:t>
            </w:r>
            <w:proofErr w:type="spellStart"/>
            <w:r w:rsidRPr="000C698F">
              <w:rPr>
                <w:b/>
                <w:sz w:val="26"/>
                <w:szCs w:val="26"/>
              </w:rPr>
              <w:t>tỉnh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300" w:type="dxa"/>
            <w:vMerge w:val="restart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Dự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toán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202</w:t>
            </w:r>
            <w:r w:rsidR="00B03D0B" w:rsidRPr="000C698F">
              <w:rPr>
                <w:b/>
                <w:sz w:val="26"/>
                <w:szCs w:val="26"/>
              </w:rPr>
              <w:t>3</w:t>
            </w:r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Chính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phủ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300" w:type="dxa"/>
            <w:vMerge w:val="restart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Dự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toán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202</w:t>
            </w:r>
            <w:r w:rsidR="00B03D0B" w:rsidRPr="000C698F">
              <w:rPr>
                <w:b/>
                <w:sz w:val="26"/>
                <w:szCs w:val="26"/>
              </w:rPr>
              <w:t>3</w:t>
            </w:r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trình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HĐND </w:t>
            </w:r>
            <w:proofErr w:type="spellStart"/>
            <w:r w:rsidRPr="000C698F">
              <w:rPr>
                <w:b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 xml:space="preserve">So </w:t>
            </w:r>
            <w:proofErr w:type="spellStart"/>
            <w:r w:rsidRPr="000C698F">
              <w:rPr>
                <w:b/>
                <w:sz w:val="26"/>
                <w:szCs w:val="26"/>
              </w:rPr>
              <w:t>sánh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dự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toán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202</w:t>
            </w:r>
            <w:r w:rsidR="00EB55C5" w:rsidRPr="000C69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 xml:space="preserve">So </w:t>
            </w:r>
            <w:proofErr w:type="spellStart"/>
            <w:r w:rsidRPr="000C698F">
              <w:rPr>
                <w:b/>
                <w:sz w:val="26"/>
                <w:szCs w:val="26"/>
              </w:rPr>
              <w:t>sánh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dự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toán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202</w:t>
            </w:r>
            <w:r w:rsidR="00EB55C5" w:rsidRPr="000C698F">
              <w:rPr>
                <w:b/>
                <w:sz w:val="26"/>
                <w:szCs w:val="26"/>
              </w:rPr>
              <w:t>3</w:t>
            </w:r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Chính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phủ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giao</w:t>
            </w:r>
            <w:proofErr w:type="spellEnd"/>
          </w:p>
        </w:tc>
      </w:tr>
      <w:tr w:rsidR="0052423C" w:rsidRPr="0052423C" w:rsidTr="000C698F">
        <w:trPr>
          <w:trHeight w:val="186"/>
        </w:trPr>
        <w:tc>
          <w:tcPr>
            <w:tcW w:w="567" w:type="dxa"/>
            <w:vMerge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Tuyệt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1099" w:type="dxa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Tương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1097" w:type="dxa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Tuyệt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1171" w:type="dxa"/>
            <w:vAlign w:val="center"/>
          </w:tcPr>
          <w:p w:rsidR="0052423C" w:rsidRPr="000C698F" w:rsidRDefault="0052423C" w:rsidP="000C698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Tương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đối</w:t>
            </w:r>
            <w:proofErr w:type="spellEnd"/>
          </w:p>
        </w:tc>
      </w:tr>
      <w:tr w:rsidR="00EB55C5" w:rsidRPr="0052423C" w:rsidTr="000C698F">
        <w:trPr>
          <w:trHeight w:val="425"/>
        </w:trPr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EB55C5" w:rsidRPr="000C698F" w:rsidRDefault="00EB55C5" w:rsidP="000C698F">
            <w:pPr>
              <w:rPr>
                <w:b/>
                <w:sz w:val="26"/>
                <w:szCs w:val="26"/>
              </w:rPr>
            </w:pPr>
            <w:proofErr w:type="spellStart"/>
            <w:r w:rsidRPr="000C698F">
              <w:rPr>
                <w:b/>
                <w:sz w:val="26"/>
                <w:szCs w:val="26"/>
              </w:rPr>
              <w:t>Tổng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thu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NSNN </w:t>
            </w:r>
            <w:proofErr w:type="spellStart"/>
            <w:r w:rsidRPr="000C698F">
              <w:rPr>
                <w:b/>
                <w:sz w:val="26"/>
                <w:szCs w:val="26"/>
              </w:rPr>
              <w:t>trên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địa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3.490.000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3.393.500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3.658.000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168.000</w:t>
            </w:r>
          </w:p>
        </w:tc>
        <w:tc>
          <w:tcPr>
            <w:tcW w:w="1099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105%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264.500</w:t>
            </w:r>
          </w:p>
        </w:tc>
        <w:tc>
          <w:tcPr>
            <w:tcW w:w="1171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108%</w:t>
            </w:r>
          </w:p>
        </w:tc>
      </w:tr>
      <w:tr w:rsidR="00EB55C5" w:rsidRPr="0052423C" w:rsidTr="00EB55C5"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B55C5">
              <w:rPr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EB55C5" w:rsidRPr="00EB55C5" w:rsidRDefault="00EB55C5" w:rsidP="004573FC">
            <w:pPr>
              <w:spacing w:before="120" w:after="120" w:line="276" w:lineRule="auto"/>
              <w:rPr>
                <w:b/>
                <w:sz w:val="24"/>
                <w:szCs w:val="24"/>
                <w:lang w:val="nl-NL"/>
              </w:rPr>
            </w:pPr>
            <w:r w:rsidRPr="00EB55C5">
              <w:rPr>
                <w:b/>
                <w:sz w:val="24"/>
                <w:szCs w:val="24"/>
                <w:lang w:val="nl-NL"/>
              </w:rPr>
              <w:t>Thu nội địa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B55C5">
              <w:rPr>
                <w:b/>
                <w:sz w:val="24"/>
                <w:szCs w:val="24"/>
                <w:lang w:val="nl-NL"/>
              </w:rPr>
              <w:t>2.990.000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3.243.500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b/>
                <w:sz w:val="24"/>
                <w:lang w:val="nl-NL"/>
              </w:rPr>
            </w:pPr>
            <w:r w:rsidRPr="00EB55C5">
              <w:rPr>
                <w:b/>
                <w:sz w:val="24"/>
                <w:lang w:val="nl-NL"/>
              </w:rPr>
              <w:t>3.508.000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b/>
                <w:color w:val="000000"/>
                <w:sz w:val="24"/>
              </w:rPr>
            </w:pPr>
            <w:r w:rsidRPr="00EB55C5">
              <w:rPr>
                <w:b/>
                <w:color w:val="000000"/>
                <w:sz w:val="24"/>
              </w:rPr>
              <w:t>518.000</w:t>
            </w:r>
          </w:p>
        </w:tc>
        <w:tc>
          <w:tcPr>
            <w:tcW w:w="1099" w:type="dxa"/>
            <w:vAlign w:val="center"/>
          </w:tcPr>
          <w:p w:rsidR="00EB55C5" w:rsidRPr="00EB55C5" w:rsidRDefault="00EB55C5" w:rsidP="00EB55C5">
            <w:pPr>
              <w:jc w:val="center"/>
              <w:rPr>
                <w:b/>
                <w:color w:val="000000"/>
                <w:sz w:val="24"/>
              </w:rPr>
            </w:pPr>
            <w:r w:rsidRPr="00EB55C5">
              <w:rPr>
                <w:b/>
                <w:color w:val="000000"/>
                <w:sz w:val="24"/>
              </w:rPr>
              <w:t>117%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b/>
                <w:color w:val="000000"/>
                <w:sz w:val="24"/>
              </w:rPr>
            </w:pPr>
            <w:r w:rsidRPr="00EB55C5">
              <w:rPr>
                <w:b/>
                <w:color w:val="000000"/>
                <w:sz w:val="24"/>
              </w:rPr>
              <w:t>264.500</w:t>
            </w:r>
          </w:p>
        </w:tc>
        <w:tc>
          <w:tcPr>
            <w:tcW w:w="1171" w:type="dxa"/>
            <w:vAlign w:val="center"/>
          </w:tcPr>
          <w:p w:rsidR="00EB55C5" w:rsidRPr="00EB55C5" w:rsidRDefault="00EB55C5" w:rsidP="00EB55C5">
            <w:pPr>
              <w:jc w:val="center"/>
              <w:rPr>
                <w:b/>
                <w:color w:val="000000"/>
                <w:sz w:val="24"/>
              </w:rPr>
            </w:pPr>
            <w:r w:rsidRPr="00EB55C5">
              <w:rPr>
                <w:b/>
                <w:color w:val="000000"/>
                <w:sz w:val="24"/>
              </w:rPr>
              <w:t>108%</w:t>
            </w:r>
          </w:p>
        </w:tc>
      </w:tr>
      <w:tr w:rsidR="0052423C" w:rsidRPr="0052423C" w:rsidTr="00EB55C5">
        <w:tc>
          <w:tcPr>
            <w:tcW w:w="567" w:type="dxa"/>
            <w:vAlign w:val="center"/>
          </w:tcPr>
          <w:p w:rsidR="0052423C" w:rsidRPr="000C698F" w:rsidRDefault="0052423C" w:rsidP="000C698F"/>
        </w:tc>
        <w:tc>
          <w:tcPr>
            <w:tcW w:w="1843" w:type="dxa"/>
            <w:vAlign w:val="center"/>
          </w:tcPr>
          <w:p w:rsidR="0052423C" w:rsidRPr="000C698F" w:rsidRDefault="0052423C" w:rsidP="000C698F">
            <w:proofErr w:type="spellStart"/>
            <w:r w:rsidRPr="000C698F">
              <w:t>Trong</w:t>
            </w:r>
            <w:proofErr w:type="spellEnd"/>
            <w:r w:rsidRPr="000C698F">
              <w:t xml:space="preserve"> </w:t>
            </w:r>
            <w:proofErr w:type="spellStart"/>
            <w:r w:rsidRPr="000C698F">
              <w:t>đó</w:t>
            </w:r>
            <w:proofErr w:type="spellEnd"/>
            <w:r w:rsidRPr="000C698F">
              <w:t>:</w:t>
            </w:r>
          </w:p>
        </w:tc>
        <w:tc>
          <w:tcPr>
            <w:tcW w:w="1300" w:type="dxa"/>
            <w:vAlign w:val="center"/>
          </w:tcPr>
          <w:p w:rsidR="0052423C" w:rsidRPr="000C698F" w:rsidRDefault="0052423C" w:rsidP="000C698F"/>
        </w:tc>
        <w:tc>
          <w:tcPr>
            <w:tcW w:w="1300" w:type="dxa"/>
            <w:vAlign w:val="center"/>
          </w:tcPr>
          <w:p w:rsidR="0052423C" w:rsidRPr="000C698F" w:rsidRDefault="0052423C" w:rsidP="000C698F"/>
        </w:tc>
        <w:tc>
          <w:tcPr>
            <w:tcW w:w="1300" w:type="dxa"/>
            <w:vAlign w:val="center"/>
          </w:tcPr>
          <w:p w:rsidR="0052423C" w:rsidRPr="000C698F" w:rsidRDefault="0052423C" w:rsidP="000C698F"/>
        </w:tc>
        <w:tc>
          <w:tcPr>
            <w:tcW w:w="1097" w:type="dxa"/>
            <w:vAlign w:val="center"/>
          </w:tcPr>
          <w:p w:rsidR="0052423C" w:rsidRPr="000C698F" w:rsidRDefault="0052423C" w:rsidP="000C698F"/>
        </w:tc>
        <w:tc>
          <w:tcPr>
            <w:tcW w:w="1099" w:type="dxa"/>
            <w:vAlign w:val="center"/>
          </w:tcPr>
          <w:p w:rsidR="0052423C" w:rsidRPr="000C698F" w:rsidRDefault="0052423C" w:rsidP="000C698F"/>
        </w:tc>
        <w:tc>
          <w:tcPr>
            <w:tcW w:w="1097" w:type="dxa"/>
            <w:vAlign w:val="center"/>
          </w:tcPr>
          <w:p w:rsidR="0052423C" w:rsidRPr="000C698F" w:rsidRDefault="0052423C" w:rsidP="000C698F"/>
        </w:tc>
        <w:tc>
          <w:tcPr>
            <w:tcW w:w="1171" w:type="dxa"/>
            <w:vAlign w:val="center"/>
          </w:tcPr>
          <w:p w:rsidR="0052423C" w:rsidRPr="000C698F" w:rsidRDefault="0052423C" w:rsidP="000C698F"/>
        </w:tc>
      </w:tr>
      <w:tr w:rsidR="00EB55C5" w:rsidRPr="0052423C" w:rsidTr="000C698F">
        <w:trPr>
          <w:trHeight w:val="366"/>
        </w:trPr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3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Các khoản thuế thu từ khu vực kinh tế ngoài quốc doanh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891.000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970.000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1.048.400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157.400</w:t>
            </w:r>
          </w:p>
        </w:tc>
        <w:tc>
          <w:tcPr>
            <w:tcW w:w="1099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118%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78.400</w:t>
            </w:r>
          </w:p>
        </w:tc>
        <w:tc>
          <w:tcPr>
            <w:tcW w:w="1171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108%</w:t>
            </w:r>
          </w:p>
        </w:tc>
      </w:tr>
      <w:tr w:rsidR="00EB55C5" w:rsidRPr="0052423C" w:rsidTr="00EB55C5">
        <w:tc>
          <w:tcPr>
            <w:tcW w:w="567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bookmarkStart w:id="0" w:name="_GoBack" w:colFirst="0" w:colLast="8"/>
            <w:r w:rsidRPr="000C698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proofErr w:type="spellStart"/>
            <w:r w:rsidRPr="000C698F">
              <w:rPr>
                <w:sz w:val="26"/>
                <w:szCs w:val="26"/>
              </w:rPr>
              <w:t>Lệ</w:t>
            </w:r>
            <w:proofErr w:type="spellEnd"/>
            <w:r w:rsidRPr="000C698F">
              <w:rPr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sz w:val="26"/>
                <w:szCs w:val="26"/>
              </w:rPr>
              <w:t>phí</w:t>
            </w:r>
            <w:proofErr w:type="spellEnd"/>
            <w:r w:rsidRPr="000C698F">
              <w:rPr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sz w:val="26"/>
                <w:szCs w:val="26"/>
              </w:rPr>
              <w:t>trước</w:t>
            </w:r>
            <w:proofErr w:type="spellEnd"/>
            <w:r w:rsidRPr="000C698F">
              <w:rPr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sz w:val="26"/>
                <w:szCs w:val="26"/>
              </w:rPr>
              <w:t>bạ</w:t>
            </w:r>
            <w:proofErr w:type="spellEnd"/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100.000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125.000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136.600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36.600</w:t>
            </w:r>
          </w:p>
        </w:tc>
        <w:tc>
          <w:tcPr>
            <w:tcW w:w="1099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137%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11.600</w:t>
            </w:r>
          </w:p>
        </w:tc>
        <w:tc>
          <w:tcPr>
            <w:tcW w:w="1171" w:type="dxa"/>
            <w:vAlign w:val="center"/>
          </w:tcPr>
          <w:p w:rsidR="00EB55C5" w:rsidRPr="000C698F" w:rsidRDefault="00EB55C5" w:rsidP="000C698F">
            <w:pPr>
              <w:rPr>
                <w:sz w:val="26"/>
                <w:szCs w:val="26"/>
              </w:rPr>
            </w:pPr>
            <w:r w:rsidRPr="000C698F">
              <w:rPr>
                <w:sz w:val="26"/>
                <w:szCs w:val="26"/>
              </w:rPr>
              <w:t>109%</w:t>
            </w:r>
          </w:p>
        </w:tc>
      </w:tr>
      <w:bookmarkEnd w:id="0"/>
      <w:tr w:rsidR="00EB55C5" w:rsidRPr="0052423C" w:rsidTr="000C698F">
        <w:trPr>
          <w:trHeight w:val="403"/>
        </w:trPr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3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Thuế thu nhập cá nhân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140.000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182.000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192.000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52.000</w:t>
            </w:r>
          </w:p>
        </w:tc>
        <w:tc>
          <w:tcPr>
            <w:tcW w:w="1099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137%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171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105%</w:t>
            </w:r>
          </w:p>
        </w:tc>
      </w:tr>
      <w:tr w:rsidR="00EB55C5" w:rsidRPr="0052423C" w:rsidTr="000C698F">
        <w:trPr>
          <w:trHeight w:val="359"/>
        </w:trPr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3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Tiền sử dụng đất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340.000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248.000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392.500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52.500</w:t>
            </w:r>
          </w:p>
        </w:tc>
        <w:tc>
          <w:tcPr>
            <w:tcW w:w="1099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115%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144.500</w:t>
            </w:r>
          </w:p>
        </w:tc>
        <w:tc>
          <w:tcPr>
            <w:tcW w:w="1171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158%</w:t>
            </w:r>
          </w:p>
        </w:tc>
      </w:tr>
      <w:tr w:rsidR="00EB55C5" w:rsidRPr="0052423C" w:rsidTr="000C698F">
        <w:trPr>
          <w:trHeight w:val="1785"/>
        </w:trPr>
        <w:tc>
          <w:tcPr>
            <w:tcW w:w="567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3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Thu huy động đóng góp từ các cơ quan, tổ chức, cá nhân theo quy định của pháp luật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300" w:type="dxa"/>
            <w:vAlign w:val="center"/>
          </w:tcPr>
          <w:p w:rsidR="00EB55C5" w:rsidRPr="00EB55C5" w:rsidRDefault="00EB55C5" w:rsidP="00EB55C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B55C5">
              <w:rPr>
                <w:sz w:val="24"/>
                <w:szCs w:val="24"/>
                <w:lang w:val="nl-NL"/>
              </w:rPr>
              <w:t>20.000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099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 w:rsidRPr="00EB55C5">
              <w:rPr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171" w:type="dxa"/>
            <w:vAlign w:val="center"/>
          </w:tcPr>
          <w:p w:rsidR="00EB55C5" w:rsidRPr="00EB55C5" w:rsidRDefault="00EB55C5" w:rsidP="00EB5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55C5" w:rsidRPr="0052423C" w:rsidTr="000C698F">
        <w:trPr>
          <w:trHeight w:val="338"/>
        </w:trPr>
        <w:tc>
          <w:tcPr>
            <w:tcW w:w="567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B55C5" w:rsidRPr="000C698F" w:rsidRDefault="00EB55C5" w:rsidP="000C698F">
            <w:pPr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 xml:space="preserve">Thu </w:t>
            </w:r>
            <w:proofErr w:type="spellStart"/>
            <w:r w:rsidRPr="000C698F">
              <w:rPr>
                <w:b/>
                <w:sz w:val="26"/>
                <w:szCs w:val="26"/>
              </w:rPr>
              <w:t>từ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hoạt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động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xuất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698F">
              <w:rPr>
                <w:b/>
                <w:sz w:val="26"/>
                <w:szCs w:val="26"/>
              </w:rPr>
              <w:t>nhập</w:t>
            </w:r>
            <w:proofErr w:type="spellEnd"/>
            <w:r w:rsidRPr="000C69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98F">
              <w:rPr>
                <w:b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200.000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150.000</w:t>
            </w:r>
          </w:p>
        </w:tc>
        <w:tc>
          <w:tcPr>
            <w:tcW w:w="1300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150.000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-50.000</w:t>
            </w:r>
          </w:p>
        </w:tc>
        <w:tc>
          <w:tcPr>
            <w:tcW w:w="1099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75%</w:t>
            </w:r>
          </w:p>
        </w:tc>
        <w:tc>
          <w:tcPr>
            <w:tcW w:w="1097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1" w:type="dxa"/>
            <w:vAlign w:val="center"/>
          </w:tcPr>
          <w:p w:rsidR="00EB55C5" w:rsidRPr="000C698F" w:rsidRDefault="00EB55C5" w:rsidP="000C698F">
            <w:pPr>
              <w:jc w:val="center"/>
              <w:rPr>
                <w:b/>
                <w:sz w:val="26"/>
                <w:szCs w:val="26"/>
              </w:rPr>
            </w:pPr>
            <w:r w:rsidRPr="000C698F">
              <w:rPr>
                <w:b/>
                <w:sz w:val="26"/>
                <w:szCs w:val="26"/>
              </w:rPr>
              <w:t>100%</w:t>
            </w:r>
          </w:p>
        </w:tc>
      </w:tr>
    </w:tbl>
    <w:p w:rsidR="00E90898" w:rsidRPr="00E90898" w:rsidRDefault="004049CE" w:rsidP="00E90898">
      <w:pPr>
        <w:spacing w:before="120" w:after="120" w:line="276" w:lineRule="auto"/>
        <w:ind w:firstLine="709"/>
        <w:jc w:val="both"/>
        <w:rPr>
          <w:lang w:val="nl-NL"/>
        </w:rPr>
      </w:pPr>
      <w:r w:rsidRPr="00E7325E">
        <w:rPr>
          <w:b/>
          <w:lang w:val="nl-NL"/>
        </w:rPr>
        <w:lastRenderedPageBreak/>
        <w:t>2.</w:t>
      </w:r>
      <w:r w:rsidRPr="00E90898">
        <w:rPr>
          <w:lang w:val="nl-NL"/>
        </w:rPr>
        <w:t xml:space="preserve"> </w:t>
      </w:r>
      <w:r w:rsidR="00E90898" w:rsidRPr="00E90898">
        <w:rPr>
          <w:lang w:val="nl-NL"/>
        </w:rPr>
        <w:t>Chi Ngân sách địa phương năm 202</w:t>
      </w:r>
      <w:r w:rsidR="004573FC">
        <w:rPr>
          <w:lang w:val="nl-NL"/>
        </w:rPr>
        <w:t>3</w:t>
      </w:r>
      <w:r w:rsidR="00E90898" w:rsidRPr="00E90898">
        <w:rPr>
          <w:lang w:val="nl-NL"/>
        </w:rPr>
        <w:t xml:space="preserve">, UBND tỉnh trình HĐND tỉnh là </w:t>
      </w:r>
      <w:r w:rsidR="004573FC">
        <w:rPr>
          <w:lang w:val="nl-NL"/>
        </w:rPr>
        <w:t>7.542.300</w:t>
      </w:r>
      <w:r w:rsidR="00E90898" w:rsidRPr="00E90898">
        <w:rPr>
          <w:lang w:val="nl-NL"/>
        </w:rPr>
        <w:t xml:space="preserve"> triệu đồng, tăng </w:t>
      </w:r>
      <w:r w:rsidR="00E90898" w:rsidRPr="00E90898">
        <w:rPr>
          <w:color w:val="000000"/>
        </w:rPr>
        <w:t>2</w:t>
      </w:r>
      <w:r w:rsidR="004573FC">
        <w:rPr>
          <w:color w:val="000000"/>
        </w:rPr>
        <w:t>64</w:t>
      </w:r>
      <w:r w:rsidR="00E90898" w:rsidRPr="00E90898">
        <w:rPr>
          <w:color w:val="000000"/>
        </w:rPr>
        <w:t>.</w:t>
      </w:r>
      <w:r w:rsidR="004573FC">
        <w:rPr>
          <w:color w:val="000000"/>
        </w:rPr>
        <w:t>5</w:t>
      </w:r>
      <w:r w:rsidR="00E90898" w:rsidRPr="00E90898">
        <w:rPr>
          <w:color w:val="000000"/>
        </w:rPr>
        <w:t xml:space="preserve">00 </w:t>
      </w:r>
      <w:r w:rsidR="00E90898" w:rsidRPr="00E90898">
        <w:rPr>
          <w:lang w:val="nl-NL"/>
        </w:rPr>
        <w:t xml:space="preserve">triệu đồng so với dự toán năm 2022 Chính phủ dự kiến giao </w:t>
      </w:r>
      <w:r w:rsidR="004573FC">
        <w:rPr>
          <w:lang w:val="nl-NL"/>
        </w:rPr>
        <w:t>7.277.830</w:t>
      </w:r>
      <w:r w:rsidR="00E90898" w:rsidRPr="00E90898">
        <w:rPr>
          <w:lang w:val="nl-NL"/>
        </w:rPr>
        <w:t xml:space="preserve"> triệu đồng; cụ thể:</w:t>
      </w:r>
    </w:p>
    <w:p w:rsidR="000C698F" w:rsidRPr="000C698F" w:rsidRDefault="000C698F" w:rsidP="000C698F">
      <w:pPr>
        <w:spacing w:before="120" w:after="120" w:line="276" w:lineRule="auto"/>
        <w:ind w:firstLine="709"/>
        <w:jc w:val="right"/>
        <w:rPr>
          <w:i/>
          <w:lang w:val="nl-NL"/>
        </w:rPr>
      </w:pPr>
      <w:r>
        <w:rPr>
          <w:i/>
          <w:lang w:val="nl-NL"/>
        </w:rPr>
        <w:t>Đơn vị tính</w:t>
      </w:r>
      <w:r w:rsidRPr="000C698F">
        <w:rPr>
          <w:i/>
          <w:lang w:val="nl-NL"/>
        </w:rPr>
        <w:t>: triệu đồng</w:t>
      </w:r>
    </w:p>
    <w:tbl>
      <w:tblPr>
        <w:tblStyle w:val="TableGrid"/>
        <w:tblW w:w="10640" w:type="dxa"/>
        <w:tblInd w:w="-885" w:type="dxa"/>
        <w:tblLook w:val="04A0" w:firstRow="1" w:lastRow="0" w:firstColumn="1" w:lastColumn="0" w:noHBand="0" w:noVBand="1"/>
      </w:tblPr>
      <w:tblGrid>
        <w:gridCol w:w="563"/>
        <w:gridCol w:w="1848"/>
        <w:gridCol w:w="1291"/>
        <w:gridCol w:w="1291"/>
        <w:gridCol w:w="1291"/>
        <w:gridCol w:w="1090"/>
        <w:gridCol w:w="1116"/>
        <w:gridCol w:w="1034"/>
        <w:gridCol w:w="1116"/>
      </w:tblGrid>
      <w:tr w:rsidR="00954395" w:rsidRPr="00E7325E" w:rsidTr="00EC4496">
        <w:tc>
          <w:tcPr>
            <w:tcW w:w="563" w:type="dxa"/>
            <w:vMerge w:val="restart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848" w:type="dxa"/>
            <w:vMerge w:val="restart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291" w:type="dxa"/>
            <w:vMerge w:val="restart"/>
            <w:vAlign w:val="center"/>
          </w:tcPr>
          <w:p w:rsidR="00954395" w:rsidRPr="00E7325E" w:rsidRDefault="00954395" w:rsidP="004573F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Dự toán 202</w:t>
            </w:r>
            <w:r w:rsidR="004573FC">
              <w:rPr>
                <w:b/>
                <w:sz w:val="24"/>
                <w:szCs w:val="24"/>
                <w:lang w:val="nl-NL"/>
              </w:rPr>
              <w:t xml:space="preserve">2 </w:t>
            </w:r>
            <w:r w:rsidRPr="00E7325E">
              <w:rPr>
                <w:b/>
                <w:sz w:val="24"/>
                <w:szCs w:val="24"/>
                <w:lang w:val="nl-NL"/>
              </w:rPr>
              <w:t>HĐND tỉnh giao</w:t>
            </w:r>
          </w:p>
        </w:tc>
        <w:tc>
          <w:tcPr>
            <w:tcW w:w="1291" w:type="dxa"/>
            <w:vMerge w:val="restart"/>
            <w:vAlign w:val="center"/>
          </w:tcPr>
          <w:p w:rsidR="00954395" w:rsidRPr="00E7325E" w:rsidRDefault="00954395" w:rsidP="004573F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Dự toán 202</w:t>
            </w:r>
            <w:r w:rsidR="004573FC">
              <w:rPr>
                <w:b/>
                <w:sz w:val="24"/>
                <w:szCs w:val="24"/>
                <w:lang w:val="nl-NL"/>
              </w:rPr>
              <w:t>3</w:t>
            </w:r>
            <w:r w:rsidRPr="00E7325E">
              <w:rPr>
                <w:b/>
                <w:sz w:val="24"/>
                <w:szCs w:val="24"/>
                <w:lang w:val="nl-NL"/>
              </w:rPr>
              <w:t xml:space="preserve"> Chính phủ giao</w:t>
            </w:r>
          </w:p>
        </w:tc>
        <w:tc>
          <w:tcPr>
            <w:tcW w:w="1291" w:type="dxa"/>
            <w:vMerge w:val="restart"/>
            <w:vAlign w:val="center"/>
          </w:tcPr>
          <w:p w:rsidR="00954395" w:rsidRPr="00E7325E" w:rsidRDefault="00954395" w:rsidP="004573F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Dự toán 202</w:t>
            </w:r>
            <w:r w:rsidR="004573FC">
              <w:rPr>
                <w:b/>
                <w:sz w:val="24"/>
                <w:szCs w:val="24"/>
                <w:lang w:val="nl-NL"/>
              </w:rPr>
              <w:t>3</w:t>
            </w:r>
            <w:r w:rsidRPr="00E7325E">
              <w:rPr>
                <w:b/>
                <w:sz w:val="24"/>
                <w:szCs w:val="24"/>
                <w:lang w:val="nl-NL"/>
              </w:rPr>
              <w:t xml:space="preserve"> trình HĐND tỉnh</w:t>
            </w:r>
          </w:p>
        </w:tc>
        <w:tc>
          <w:tcPr>
            <w:tcW w:w="2206" w:type="dxa"/>
            <w:gridSpan w:val="2"/>
            <w:vAlign w:val="center"/>
          </w:tcPr>
          <w:p w:rsidR="00954395" w:rsidRPr="00E7325E" w:rsidRDefault="00954395" w:rsidP="0069508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 xml:space="preserve">So sánh </w:t>
            </w:r>
            <w:r w:rsidR="00695085">
              <w:rPr>
                <w:b/>
                <w:sz w:val="24"/>
                <w:szCs w:val="24"/>
                <w:lang w:val="nl-NL"/>
              </w:rPr>
              <w:t xml:space="preserve">với </w:t>
            </w:r>
            <w:r w:rsidRPr="00E7325E">
              <w:rPr>
                <w:b/>
                <w:sz w:val="24"/>
                <w:szCs w:val="24"/>
                <w:lang w:val="nl-NL"/>
              </w:rPr>
              <w:t>dự toán 202</w:t>
            </w:r>
            <w:r w:rsidR="00695085">
              <w:rPr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2150" w:type="dxa"/>
            <w:gridSpan w:val="2"/>
            <w:vAlign w:val="center"/>
          </w:tcPr>
          <w:p w:rsidR="00954395" w:rsidRPr="00E7325E" w:rsidRDefault="00954395" w:rsidP="004573FC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 xml:space="preserve">So sánh </w:t>
            </w:r>
            <w:r w:rsidR="00695085">
              <w:rPr>
                <w:b/>
                <w:sz w:val="24"/>
                <w:szCs w:val="24"/>
                <w:lang w:val="nl-NL"/>
              </w:rPr>
              <w:t xml:space="preserve">với </w:t>
            </w:r>
            <w:r w:rsidRPr="00E7325E">
              <w:rPr>
                <w:b/>
                <w:sz w:val="24"/>
                <w:szCs w:val="24"/>
                <w:lang w:val="nl-NL"/>
              </w:rPr>
              <w:t>dự toán 202</w:t>
            </w:r>
            <w:r w:rsidR="004573FC">
              <w:rPr>
                <w:b/>
                <w:sz w:val="24"/>
                <w:szCs w:val="24"/>
                <w:lang w:val="nl-NL"/>
              </w:rPr>
              <w:t>3</w:t>
            </w:r>
            <w:r w:rsidRPr="00E7325E">
              <w:rPr>
                <w:b/>
                <w:sz w:val="24"/>
                <w:szCs w:val="24"/>
                <w:lang w:val="nl-NL"/>
              </w:rPr>
              <w:t xml:space="preserve"> Chính phủ giao</w:t>
            </w:r>
          </w:p>
        </w:tc>
      </w:tr>
      <w:tr w:rsidR="00E7325E" w:rsidRPr="00E7325E" w:rsidTr="00EC4496">
        <w:tc>
          <w:tcPr>
            <w:tcW w:w="563" w:type="dxa"/>
            <w:vMerge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8" w:type="dxa"/>
            <w:vMerge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vMerge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vMerge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vMerge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90" w:type="dxa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Tuyệt đối</w:t>
            </w:r>
          </w:p>
        </w:tc>
        <w:tc>
          <w:tcPr>
            <w:tcW w:w="1116" w:type="dxa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Tương đối</w:t>
            </w:r>
          </w:p>
        </w:tc>
        <w:tc>
          <w:tcPr>
            <w:tcW w:w="1034" w:type="dxa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Tuyệt đối</w:t>
            </w:r>
          </w:p>
        </w:tc>
        <w:tc>
          <w:tcPr>
            <w:tcW w:w="1116" w:type="dxa"/>
            <w:vAlign w:val="center"/>
          </w:tcPr>
          <w:p w:rsidR="00954395" w:rsidRPr="00E7325E" w:rsidRDefault="00954395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Tương đối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Tổng chi NSĐP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3827B9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6.818.948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4D07D1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7.277.830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7.542.330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723.382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111%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264.500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104%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Chi cân đối ngân sách địa phương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3827B9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4.</w:t>
            </w:r>
            <w:r>
              <w:rPr>
                <w:b/>
                <w:sz w:val="24"/>
                <w:szCs w:val="24"/>
                <w:lang w:val="nl-NL"/>
              </w:rPr>
              <w:t>771.801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4.711.009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4.975.509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203.708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104%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264.500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106%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Chi đầu tư phát triển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870.080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849.189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973.689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103.609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112%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124.500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115%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Chi thường xuyên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3.730.326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3.770.638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3.830.376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100.050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103%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59.738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102%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Chi trả nợ lãi các khoản do chính quyền địa phương vay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2.365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4.972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2.607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210%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4.972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Chi bổ sung quỹ dự trữ tài chính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1.000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1.000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1.000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Dự phòng ngân sách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91.030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90.182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95.472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4.442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105%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5.290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106%</w:t>
            </w:r>
          </w:p>
        </w:tc>
      </w:tr>
      <w:tr w:rsidR="003827B9" w:rsidRPr="00E7325E" w:rsidTr="003827B9">
        <w:trPr>
          <w:trHeight w:val="986"/>
        </w:trPr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-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sz w:val="24"/>
                <w:szCs w:val="24"/>
                <w:lang w:val="nl-NL"/>
              </w:rPr>
            </w:pPr>
            <w:r w:rsidRPr="00E7325E">
              <w:rPr>
                <w:sz w:val="24"/>
                <w:szCs w:val="24"/>
                <w:lang w:val="nl-NL"/>
              </w:rPr>
              <w:t>Chi tạo nguồn, điều chỉnh tiền lương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77.000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70.000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-7.000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  <w:r w:rsidRPr="003827B9">
              <w:rPr>
                <w:color w:val="000000"/>
                <w:sz w:val="24"/>
                <w:szCs w:val="24"/>
              </w:rPr>
              <w:t>70.000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27B9" w:rsidRPr="00E7325E" w:rsidTr="003827B9">
        <w:tc>
          <w:tcPr>
            <w:tcW w:w="563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848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rPr>
                <w:b/>
                <w:sz w:val="24"/>
                <w:szCs w:val="24"/>
                <w:lang w:val="nl-NL"/>
              </w:rPr>
            </w:pPr>
            <w:r w:rsidRPr="00E7325E">
              <w:rPr>
                <w:b/>
                <w:sz w:val="24"/>
                <w:szCs w:val="24"/>
                <w:lang w:val="nl-NL"/>
              </w:rPr>
              <w:t>Chi từ nguồn TW bổ sung có mục tiêu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2.047.147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2.566.821</w:t>
            </w:r>
          </w:p>
        </w:tc>
        <w:tc>
          <w:tcPr>
            <w:tcW w:w="1291" w:type="dxa"/>
            <w:vAlign w:val="center"/>
          </w:tcPr>
          <w:p w:rsidR="003827B9" w:rsidRPr="00E7325E" w:rsidRDefault="003827B9" w:rsidP="00954395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2.566.821</w:t>
            </w:r>
          </w:p>
        </w:tc>
        <w:tc>
          <w:tcPr>
            <w:tcW w:w="1090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519.674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125%</w:t>
            </w:r>
          </w:p>
        </w:tc>
        <w:tc>
          <w:tcPr>
            <w:tcW w:w="1034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827B9" w:rsidRPr="003827B9" w:rsidRDefault="003827B9" w:rsidP="0038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27B9"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5329D8" w:rsidRDefault="005329D8"/>
    <w:sectPr w:rsidR="005329D8" w:rsidSect="000C698F">
      <w:headerReference w:type="default" r:id="rId7"/>
      <w:pgSz w:w="11907" w:h="16840" w:code="9"/>
      <w:pgMar w:top="851" w:right="1134" w:bottom="85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B0" w:rsidRDefault="00DD41B0" w:rsidP="000C698F">
      <w:r>
        <w:separator/>
      </w:r>
    </w:p>
  </w:endnote>
  <w:endnote w:type="continuationSeparator" w:id="0">
    <w:p w:rsidR="00DD41B0" w:rsidRDefault="00DD41B0" w:rsidP="000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B0" w:rsidRDefault="00DD41B0" w:rsidP="000C698F">
      <w:r>
        <w:separator/>
      </w:r>
    </w:p>
  </w:footnote>
  <w:footnote w:type="continuationSeparator" w:id="0">
    <w:p w:rsidR="00DD41B0" w:rsidRDefault="00DD41B0" w:rsidP="000C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38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98F" w:rsidRDefault="000C69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98F" w:rsidRDefault="000C6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E"/>
    <w:rsid w:val="000C698F"/>
    <w:rsid w:val="00145406"/>
    <w:rsid w:val="00371800"/>
    <w:rsid w:val="003827B9"/>
    <w:rsid w:val="004049CE"/>
    <w:rsid w:val="004573FC"/>
    <w:rsid w:val="004D07D1"/>
    <w:rsid w:val="0052423C"/>
    <w:rsid w:val="005329D8"/>
    <w:rsid w:val="00695085"/>
    <w:rsid w:val="006D35D5"/>
    <w:rsid w:val="00877953"/>
    <w:rsid w:val="00954395"/>
    <w:rsid w:val="00A54F86"/>
    <w:rsid w:val="00B03D0B"/>
    <w:rsid w:val="00DD41B0"/>
    <w:rsid w:val="00E7325E"/>
    <w:rsid w:val="00E90898"/>
    <w:rsid w:val="00EB55C5"/>
    <w:rsid w:val="00EC4496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CE"/>
    <w:pPr>
      <w:spacing w:after="0" w:line="240" w:lineRule="auto"/>
    </w:pPr>
    <w:rPr>
      <w:rFonts w:ascii="Times New Roman" w:eastAsia="Arial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CE"/>
    <w:pPr>
      <w:ind w:left="720"/>
      <w:contextualSpacing/>
    </w:pPr>
  </w:style>
  <w:style w:type="table" w:styleId="TableGrid">
    <w:name w:val="Table Grid"/>
    <w:basedOn w:val="TableNormal"/>
    <w:uiPriority w:val="59"/>
    <w:rsid w:val="0040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8F"/>
    <w:rPr>
      <w:rFonts w:ascii="Times New Roman" w:eastAsia="Arial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8F"/>
    <w:rPr>
      <w:rFonts w:ascii="Times New Roman" w:eastAsia="Arial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CE"/>
    <w:pPr>
      <w:spacing w:after="0" w:line="240" w:lineRule="auto"/>
    </w:pPr>
    <w:rPr>
      <w:rFonts w:ascii="Times New Roman" w:eastAsia="Arial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CE"/>
    <w:pPr>
      <w:ind w:left="720"/>
      <w:contextualSpacing/>
    </w:pPr>
  </w:style>
  <w:style w:type="table" w:styleId="TableGrid">
    <w:name w:val="Table Grid"/>
    <w:basedOn w:val="TableNormal"/>
    <w:uiPriority w:val="59"/>
    <w:rsid w:val="0040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8F"/>
    <w:rPr>
      <w:rFonts w:ascii="Times New Roman" w:eastAsia="Arial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8F"/>
    <w:rPr>
      <w:rFonts w:ascii="Times New Roman" w:eastAsia="Arial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2022-11-14T11:04:00Z</dcterms:created>
  <dc:creator>AutoBVT</dc:creator>
  <cp:lastModifiedBy>WELCOME</cp:lastModifiedBy>
  <cp:lastPrinted>2022-11-14T12:25:00Z</cp:lastPrinted>
  <dcterms:modified xsi:type="dcterms:W3CDTF">2022-11-20T03:32:00Z</dcterms:modified>
  <cp:revision>8</cp:revision>
  <dc:title>Phòng Kinh tế - Tổng hợp - UBND Tỉnh Ninh Thuận</dc:title>
</cp:coreProperties>
</file>